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90E2A" w14:textId="707F40A3" w:rsidR="000A71AE" w:rsidRPr="004529FF" w:rsidRDefault="000A71AE" w:rsidP="000A71AE">
      <w:pPr>
        <w:jc w:val="both"/>
        <w:rPr>
          <w:rFonts w:ascii="Aptos Display" w:hAnsi="Aptos Display"/>
          <w:b/>
          <w:bCs/>
          <w:color w:val="525252" w:themeColor="accent3" w:themeShade="80"/>
          <w:sz w:val="24"/>
          <w:szCs w:val="24"/>
        </w:rPr>
      </w:pPr>
      <w:r w:rsidRPr="000A71AE">
        <w:rPr>
          <w:rFonts w:ascii="Aptos Display" w:hAnsi="Aptos Display" w:cstheme="minorHAnsi"/>
          <w:b/>
          <w:bCs/>
          <w:color w:val="538135" w:themeColor="accent6" w:themeShade="BF"/>
          <w:sz w:val="24"/>
          <w:szCs w:val="24"/>
        </w:rPr>
        <w:t xml:space="preserve">Anexa </w:t>
      </w:r>
      <w:r>
        <w:rPr>
          <w:rFonts w:ascii="Aptos Display" w:hAnsi="Aptos Display" w:cstheme="minorHAnsi"/>
          <w:b/>
          <w:bCs/>
          <w:color w:val="538135" w:themeColor="accent6" w:themeShade="BF"/>
          <w:sz w:val="24"/>
          <w:szCs w:val="24"/>
        </w:rPr>
        <w:t>1</w:t>
      </w:r>
      <w:r w:rsidR="008B3326">
        <w:rPr>
          <w:rFonts w:ascii="Aptos Display" w:hAnsi="Aptos Display" w:cstheme="minorHAnsi"/>
          <w:b/>
          <w:bCs/>
          <w:color w:val="538135" w:themeColor="accent6" w:themeShade="BF"/>
          <w:sz w:val="24"/>
          <w:szCs w:val="24"/>
        </w:rPr>
        <w:t>2</w:t>
      </w:r>
      <w:r w:rsidRPr="000A71AE">
        <w:rPr>
          <w:rFonts w:ascii="Aptos Display" w:hAnsi="Aptos Display" w:cstheme="minorHAnsi"/>
          <w:b/>
          <w:bCs/>
          <w:color w:val="538135" w:themeColor="accent6" w:themeShade="BF"/>
          <w:sz w:val="24"/>
          <w:szCs w:val="24"/>
        </w:rPr>
        <w:t xml:space="preserve"> </w:t>
      </w:r>
      <w:r w:rsidRPr="000A71AE">
        <w:rPr>
          <w:rFonts w:ascii="Aptos Display" w:hAnsi="Aptos Display"/>
          <w:b/>
          <w:bCs/>
          <w:color w:val="538135" w:themeColor="accent6" w:themeShade="BF"/>
          <w:sz w:val="24"/>
          <w:szCs w:val="24"/>
        </w:rPr>
        <w:t xml:space="preserve">la </w:t>
      </w:r>
      <w:r w:rsidR="00483F54" w:rsidRPr="00483F54">
        <w:rPr>
          <w:rFonts w:ascii="Aptos Display" w:hAnsi="Aptos Display"/>
          <w:b/>
          <w:bCs/>
          <w:color w:val="538135" w:themeColor="accent6" w:themeShade="BF"/>
          <w:sz w:val="24"/>
          <w:szCs w:val="24"/>
        </w:rPr>
        <w:t xml:space="preserve">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  </w:t>
      </w:r>
    </w:p>
    <w:p w14:paraId="176449D8" w14:textId="19E9DFC8" w:rsidR="000A71AE" w:rsidRDefault="000A71AE" w:rsidP="000A71AE">
      <w:pPr>
        <w:spacing w:before="29" w:line="240" w:lineRule="exact"/>
        <w:ind w:right="18"/>
        <w:rPr>
          <w:rFonts w:ascii="Times New Roman" w:eastAsia="Arial" w:hAnsi="Times New Roman"/>
          <w:b/>
          <w:i/>
          <w:iCs/>
          <w:spacing w:val="-1"/>
          <w:position w:val="-1"/>
          <w:sz w:val="24"/>
          <w:szCs w:val="24"/>
        </w:rPr>
      </w:pPr>
    </w:p>
    <w:p w14:paraId="1BD9893D" w14:textId="571F9CC4" w:rsidR="00E71CB1" w:rsidRPr="00E71CB1" w:rsidRDefault="00E71CB1" w:rsidP="00E71CB1">
      <w:pPr>
        <w:tabs>
          <w:tab w:val="left" w:pos="450"/>
        </w:tabs>
        <w:ind w:right="75"/>
        <w:jc w:val="both"/>
        <w:rPr>
          <w:rFonts w:ascii="Calibri" w:eastAsia="Arial" w:hAnsi="Calibri" w:cs="Calibri"/>
          <w:b/>
          <w:spacing w:val="1"/>
          <w:sz w:val="22"/>
          <w:szCs w:val="22"/>
        </w:rPr>
      </w:pPr>
      <w:r w:rsidRPr="00E71CB1">
        <w:rPr>
          <w:rFonts w:ascii="Calibri" w:eastAsia="Arial" w:hAnsi="Calibri" w:cs="Calibri"/>
          <w:b/>
          <w:spacing w:val="1"/>
          <w:sz w:val="22"/>
          <w:szCs w:val="22"/>
        </w:rPr>
        <w:t>Anexa 5</w:t>
      </w:r>
      <w:r>
        <w:rPr>
          <w:rFonts w:ascii="Calibri" w:eastAsia="Arial" w:hAnsi="Calibri" w:cs="Calibri"/>
          <w:b/>
          <w:spacing w:val="1"/>
          <w:sz w:val="22"/>
          <w:szCs w:val="22"/>
        </w:rPr>
        <w:t xml:space="preserve"> la contractul de finanțare</w:t>
      </w:r>
      <w:r w:rsidRPr="00E71CB1">
        <w:rPr>
          <w:rFonts w:ascii="Calibri" w:eastAsia="Arial" w:hAnsi="Calibri" w:cs="Calibri"/>
          <w:b/>
          <w:spacing w:val="1"/>
          <w:sz w:val="22"/>
          <w:szCs w:val="22"/>
        </w:rPr>
        <w:t xml:space="preserve"> – Reguli aplicabile ajutorului de stat/de minimis acordat</w:t>
      </w:r>
    </w:p>
    <w:p w14:paraId="03729C0A" w14:textId="77777777" w:rsidR="00E71CB1" w:rsidRPr="00E71CB1" w:rsidRDefault="00E71CB1" w:rsidP="00E71CB1">
      <w:pPr>
        <w:jc w:val="both"/>
        <w:rPr>
          <w:rFonts w:ascii="Calibri" w:eastAsia="Arial" w:hAnsi="Calibri" w:cs="Calibri"/>
          <w:sz w:val="22"/>
          <w:szCs w:val="22"/>
        </w:rPr>
      </w:pPr>
    </w:p>
    <w:p w14:paraId="5ED8EBEB"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 xml:space="preserve">Ajutorul se acordă în baza Regulamentului (UE) nr. 651/2014 din 17 iunie 2014 de declarare a anumitor categorii de ajutoare compatibile cu piața internă în aplicarea articolelor 107 și 108 din tratat, cu modificările și completările ulterioare, respectiv a Regulamentului (UE) nr. 1407/2013 privind aplicarea articolelor 107 și 108 din Tratatul privind funcționarea Uniunii Europene ajutoarelor de minimis, cu modificările și completările ulterioare, precum și a Ordinului ministrului investițiilor și proiectelor europene nr. 3996/19.10.2023 privind aprobarea schemei de măsuri de ajutor de stat și de minimis pentru finanțarea investițiilor pentru dezvoltarea IMM care sprijină creșterea durabilă și crearea de locuri de muncă în cadrul Programului Tranziție Justă 2021-2027. </w:t>
      </w:r>
    </w:p>
    <w:p w14:paraId="42DF90BB"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Data acordării ajutorului este data la care intră în vigoare contractul de finanțare, indiferent de momentul efectuării plăților/ rambursărilor efective în cadrul proiectului.</w:t>
      </w:r>
    </w:p>
    <w:p w14:paraId="15C0212A" w14:textId="77777777" w:rsidR="00E71CB1" w:rsidRPr="00E71CB1" w:rsidRDefault="00E71CB1" w:rsidP="00E71CB1">
      <w:pPr>
        <w:pStyle w:val="ListParagraph"/>
        <w:ind w:left="1287"/>
        <w:jc w:val="both"/>
        <w:rPr>
          <w:rFonts w:ascii="Calibri" w:eastAsia="Arial" w:hAnsi="Calibri" w:cs="Calibri"/>
          <w:sz w:val="22"/>
          <w:szCs w:val="22"/>
        </w:rPr>
      </w:pPr>
    </w:p>
    <w:p w14:paraId="06C509D3"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Finanțarea nerambursabilă în cuantum total de _______ lei ([valoarea în litere]), așa cum este specificată la art. 3 alin. (2), este constituită din următoarele tipuri de ajutor de stat:</w:t>
      </w:r>
    </w:p>
    <w:p w14:paraId="501694A8"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a) Ajutor de stat regional pentru investiții, în cuantum de _______ lei ([valoarea în litere]), din care ..................lei  valoare eligibilă nerambursabilă din FTJ  iar diferența de ...................lei  valoare eligibilă nerambursabilă din bugetul naţional, ajutor de stat ce se supune prevederilor Regulamentului (UE) nr. 651/2014 al Comisiei din 17 iunie 2014, de declarare a anumitor categorii de ajutoare compatibile cu piața internă în aplicarea articolelor 107 și 108 din tratat</w:t>
      </w:r>
    </w:p>
    <w:p w14:paraId="0D51C2EE" w14:textId="77777777" w:rsidR="00E71CB1" w:rsidRPr="00E71CB1" w:rsidRDefault="00E71CB1" w:rsidP="00E71CB1">
      <w:pPr>
        <w:pStyle w:val="ListParagraph"/>
        <w:ind w:left="450"/>
        <w:jc w:val="both"/>
        <w:rPr>
          <w:rFonts w:ascii="Calibri" w:eastAsia="Arial" w:hAnsi="Calibri" w:cs="Calibri"/>
          <w:sz w:val="22"/>
          <w:szCs w:val="22"/>
        </w:rPr>
      </w:pPr>
      <w:r w:rsidRPr="00E71CB1">
        <w:rPr>
          <w:rFonts w:ascii="Calibri" w:eastAsia="Arial" w:hAnsi="Calibri" w:cs="Calibri"/>
          <w:sz w:val="22"/>
          <w:szCs w:val="22"/>
        </w:rPr>
        <w:t>și</w:t>
      </w:r>
    </w:p>
    <w:p w14:paraId="14AFEC65" w14:textId="77777777" w:rsidR="00E71CB1" w:rsidRPr="00E71CB1" w:rsidRDefault="00E71CB1" w:rsidP="00E71CB1">
      <w:pPr>
        <w:pStyle w:val="ListParagraph"/>
        <w:ind w:left="450"/>
        <w:jc w:val="both"/>
        <w:rPr>
          <w:rFonts w:ascii="Calibri" w:eastAsia="Arial" w:hAnsi="Calibri" w:cs="Calibri"/>
          <w:sz w:val="22"/>
          <w:szCs w:val="22"/>
        </w:rPr>
      </w:pPr>
      <w:r w:rsidRPr="00E71CB1">
        <w:rPr>
          <w:rFonts w:ascii="Calibri" w:eastAsia="Arial" w:hAnsi="Calibri" w:cs="Calibri"/>
          <w:sz w:val="22"/>
          <w:szCs w:val="22"/>
        </w:rPr>
        <w:t>b) Ajutor de minimis, în cuantum de ___________lei ([valoarea în litere]), din care ..................lei  valoare eligibilă nerambursabilă din FTJ  iar diferența de ...................lei  valoare eligibilă nerambursabilă din bugetul naţional, ajutor ce se supune prevederilor Regulamentului Comisiei nr. 1407/2013 privind aplicarea articolelor 107 și 108 din Tratatul privind funcționarea Uniunii Europene ajutoarelor de minimis.</w:t>
      </w:r>
    </w:p>
    <w:p w14:paraId="3C0CA08E" w14:textId="77777777" w:rsidR="00E71CB1" w:rsidRPr="00E71CB1" w:rsidRDefault="00E71CB1" w:rsidP="00E71CB1">
      <w:pPr>
        <w:pStyle w:val="ListParagraph"/>
        <w:ind w:left="450"/>
        <w:jc w:val="both"/>
        <w:rPr>
          <w:rFonts w:ascii="Calibri" w:eastAsia="Arial" w:hAnsi="Calibri" w:cs="Calibri"/>
          <w:sz w:val="22"/>
          <w:szCs w:val="22"/>
        </w:rPr>
      </w:pPr>
      <w:r w:rsidRPr="00E71CB1">
        <w:rPr>
          <w:rFonts w:ascii="Calibri" w:eastAsia="Arial" w:hAnsi="Calibri" w:cs="Calibri"/>
          <w:sz w:val="22"/>
          <w:szCs w:val="22"/>
        </w:rPr>
        <w:t>(4) 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4B783476"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Perioada de implemementare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aplicabile,oricare intervine prima. Dacă implementarea proiectului nu conduce la realizarea unei investiții inițiale,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integral.</w:t>
      </w:r>
    </w:p>
    <w:p w14:paraId="5D817AA4"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Constatarea nerespectării condițiilor de acordare a ajutoarelor, oricând pe perioada de valabilitate a contractului de finanțare, conduce la rezilirea contractului de finanțare și recuperarea ajutoarelor acordate.</w:t>
      </w:r>
    </w:p>
    <w:p w14:paraId="4B4AD55F"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 xml:space="preserve">Beneficiarul trebuie să asigure o contribuție proprie la valoarea eligibilă și neeligibilă a proiectului, precum și costurile asociate asigurării mentenanței și operării investiției propuse, din </w:t>
      </w:r>
      <w:r w:rsidRPr="00E71CB1">
        <w:rPr>
          <w:rFonts w:ascii="Calibri" w:eastAsia="Arial" w:hAnsi="Calibri" w:cs="Calibri"/>
          <w:sz w:val="22"/>
          <w:szCs w:val="22"/>
        </w:rPr>
        <w:lastRenderedPageBreak/>
        <w:t>resurse proprii, fie din resurse atrase, sub o formă care să nu facă obiectul niciunui alt ajutor public.</w:t>
      </w:r>
    </w:p>
    <w:p w14:paraId="10E877A7"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414308DA"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Beneficiarul are obligația de a pune la dispoziția AMPTJ/OIPTJ, în formatul și în termenul solicitate de către acesta, toate datele și informațiile necesare în vederea respectării procedurilor de raportare și monitorizare a ajutoarelor ce îi revin ca responsabilitate.</w:t>
      </w:r>
    </w:p>
    <w:p w14:paraId="43B75C1A" w14:textId="77777777" w:rsidR="00E71CB1" w:rsidRPr="00E71CB1" w:rsidRDefault="00E71CB1" w:rsidP="00E71CB1">
      <w:pPr>
        <w:pStyle w:val="ListParagraph"/>
        <w:numPr>
          <w:ilvl w:val="0"/>
          <w:numId w:val="4"/>
        </w:numPr>
        <w:autoSpaceDE/>
        <w:autoSpaceDN/>
        <w:ind w:left="478"/>
        <w:jc w:val="both"/>
        <w:rPr>
          <w:rFonts w:ascii="Calibri" w:eastAsia="Arial" w:hAnsi="Calibri" w:cs="Calibri"/>
          <w:sz w:val="22"/>
          <w:szCs w:val="22"/>
        </w:rPr>
      </w:pPr>
      <w:r w:rsidRPr="00E71CB1">
        <w:rPr>
          <w:rFonts w:ascii="Calibri" w:eastAsia="Arial" w:hAnsi="Calibri" w:cs="Calibri"/>
          <w:sz w:val="22"/>
          <w:szCs w:val="22"/>
        </w:rPr>
        <w:t>Beneficiarul trebuie să păstreze, pe o perioadă de minimum 10 ani fiscali de la data acordării ajutorului în cadrul măsurii de sprijin, toate documentele referitoare la ajutoarele primite pentru a demonstra respectarea tuturor condițiilor impuse de legislația comunitară în acest domeniu.</w:t>
      </w:r>
    </w:p>
    <w:p w14:paraId="0D4273B6" w14:textId="3D9F1AF2" w:rsidR="00261CDE" w:rsidRPr="00E71CB1" w:rsidRDefault="00261CDE" w:rsidP="00E71CB1">
      <w:pPr>
        <w:pStyle w:val="NormalWeb"/>
        <w:spacing w:after="240"/>
        <w:jc w:val="both"/>
        <w:rPr>
          <w:sz w:val="22"/>
          <w:szCs w:val="22"/>
        </w:rPr>
      </w:pPr>
    </w:p>
    <w:sectPr w:rsidR="00261CDE" w:rsidRPr="00E71CB1"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AB94C" w14:textId="77777777" w:rsidR="0013410E" w:rsidRDefault="0013410E" w:rsidP="00AF2593">
      <w:r>
        <w:separator/>
      </w:r>
    </w:p>
  </w:endnote>
  <w:endnote w:type="continuationSeparator" w:id="0">
    <w:p w14:paraId="0BB20981" w14:textId="77777777" w:rsidR="0013410E" w:rsidRDefault="0013410E"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w:t>
        </w:r>
        <w:r w:rsidR="00A4131D">
          <w:rPr>
            <w:rFonts w:ascii="Times New Roman" w:hAnsi="Times New Roman"/>
            <w:b/>
            <w:bCs/>
            <w:noProof/>
            <w:sz w:val="18"/>
            <w:szCs w:val="18"/>
          </w:rPr>
          <w:t>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F9051" w14:textId="77777777" w:rsidR="0013410E" w:rsidRDefault="0013410E" w:rsidP="00AF2593">
      <w:r>
        <w:separator/>
      </w:r>
    </w:p>
  </w:footnote>
  <w:footnote w:type="continuationSeparator" w:id="0">
    <w:p w14:paraId="3E5E5BE5" w14:textId="77777777" w:rsidR="0013410E" w:rsidRDefault="0013410E"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AE6BD36" w:rsidR="000A71AE" w:rsidRDefault="00C47A8D">
    <w:pPr>
      <w:pStyle w:val="Header"/>
    </w:pPr>
    <w:r>
      <w:rPr>
        <w:noProof/>
      </w:rPr>
      <w:drawing>
        <wp:inline distT="0" distB="0" distL="0" distR="0" wp14:anchorId="532AC139" wp14:editId="060C8F6B">
          <wp:extent cx="5733415" cy="619125"/>
          <wp:effectExtent l="0" t="0" r="635" b="9525"/>
          <wp:docPr id="868792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19125"/>
                  </a:xfrm>
                  <a:prstGeom prst="rect">
                    <a:avLst/>
                  </a:prstGeom>
                  <a:noFill/>
                </pic:spPr>
              </pic:pic>
            </a:graphicData>
          </a:graphic>
        </wp:inline>
      </w:drawing>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3"/>
  </w:num>
  <w:num w:numId="2" w16cid:durableId="1763835969">
    <w:abstractNumId w:val="0"/>
  </w:num>
  <w:num w:numId="3" w16cid:durableId="199637495">
    <w:abstractNumId w:val="2"/>
  </w:num>
  <w:num w:numId="4" w16cid:durableId="1842694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6F94"/>
    <w:rsid w:val="001037B2"/>
    <w:rsid w:val="00105D33"/>
    <w:rsid w:val="001074BF"/>
    <w:rsid w:val="00110A63"/>
    <w:rsid w:val="00112456"/>
    <w:rsid w:val="00121180"/>
    <w:rsid w:val="0012295F"/>
    <w:rsid w:val="001338B8"/>
    <w:rsid w:val="001338CA"/>
    <w:rsid w:val="0013410E"/>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113A0"/>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67FD"/>
    <w:rsid w:val="002C1846"/>
    <w:rsid w:val="002C4590"/>
    <w:rsid w:val="002D0513"/>
    <w:rsid w:val="002D415A"/>
    <w:rsid w:val="002D43DC"/>
    <w:rsid w:val="002E0DF1"/>
    <w:rsid w:val="002E33C3"/>
    <w:rsid w:val="002E5BF2"/>
    <w:rsid w:val="002F48E4"/>
    <w:rsid w:val="002F7456"/>
    <w:rsid w:val="00300288"/>
    <w:rsid w:val="003004DA"/>
    <w:rsid w:val="0030075C"/>
    <w:rsid w:val="00301E5B"/>
    <w:rsid w:val="00302331"/>
    <w:rsid w:val="00303CF7"/>
    <w:rsid w:val="00307F94"/>
    <w:rsid w:val="00310645"/>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83F54"/>
    <w:rsid w:val="004920DE"/>
    <w:rsid w:val="00493FBE"/>
    <w:rsid w:val="0049622F"/>
    <w:rsid w:val="004A04A1"/>
    <w:rsid w:val="004A055A"/>
    <w:rsid w:val="004A29C3"/>
    <w:rsid w:val="004C7F12"/>
    <w:rsid w:val="004C7F13"/>
    <w:rsid w:val="004E32E8"/>
    <w:rsid w:val="00510D56"/>
    <w:rsid w:val="00513046"/>
    <w:rsid w:val="00524309"/>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2502F"/>
    <w:rsid w:val="00733372"/>
    <w:rsid w:val="00740E76"/>
    <w:rsid w:val="00740F54"/>
    <w:rsid w:val="00742C47"/>
    <w:rsid w:val="00746A77"/>
    <w:rsid w:val="00746E8C"/>
    <w:rsid w:val="00752B1E"/>
    <w:rsid w:val="00752F1A"/>
    <w:rsid w:val="00755C3D"/>
    <w:rsid w:val="00755DF5"/>
    <w:rsid w:val="00762B21"/>
    <w:rsid w:val="00773E99"/>
    <w:rsid w:val="00777C5B"/>
    <w:rsid w:val="00783333"/>
    <w:rsid w:val="00787AD1"/>
    <w:rsid w:val="00790F06"/>
    <w:rsid w:val="0079768C"/>
    <w:rsid w:val="007B00C2"/>
    <w:rsid w:val="007B3EAB"/>
    <w:rsid w:val="007B6A8E"/>
    <w:rsid w:val="007C2BA7"/>
    <w:rsid w:val="007C2EA3"/>
    <w:rsid w:val="007C42A3"/>
    <w:rsid w:val="007C4490"/>
    <w:rsid w:val="007D37ED"/>
    <w:rsid w:val="007D412F"/>
    <w:rsid w:val="007D4ED1"/>
    <w:rsid w:val="007E236E"/>
    <w:rsid w:val="007E4165"/>
    <w:rsid w:val="007E59A9"/>
    <w:rsid w:val="007E7FD8"/>
    <w:rsid w:val="007F1E1E"/>
    <w:rsid w:val="007F4AD4"/>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5B54"/>
    <w:rsid w:val="00896791"/>
    <w:rsid w:val="00896DD0"/>
    <w:rsid w:val="008A2B2B"/>
    <w:rsid w:val="008B2089"/>
    <w:rsid w:val="008B3326"/>
    <w:rsid w:val="008B55BF"/>
    <w:rsid w:val="008B5EAE"/>
    <w:rsid w:val="008B7A95"/>
    <w:rsid w:val="008C0476"/>
    <w:rsid w:val="008C1BD6"/>
    <w:rsid w:val="008C6A51"/>
    <w:rsid w:val="008D2616"/>
    <w:rsid w:val="008D56EB"/>
    <w:rsid w:val="008D7ADD"/>
    <w:rsid w:val="008E511C"/>
    <w:rsid w:val="008E54B6"/>
    <w:rsid w:val="008F3B9D"/>
    <w:rsid w:val="008F564C"/>
    <w:rsid w:val="009029C7"/>
    <w:rsid w:val="00905ABA"/>
    <w:rsid w:val="00907EAD"/>
    <w:rsid w:val="0091021C"/>
    <w:rsid w:val="0091276A"/>
    <w:rsid w:val="00912FD5"/>
    <w:rsid w:val="00914FAB"/>
    <w:rsid w:val="009176BE"/>
    <w:rsid w:val="0092287A"/>
    <w:rsid w:val="00924CB8"/>
    <w:rsid w:val="0093360A"/>
    <w:rsid w:val="00934201"/>
    <w:rsid w:val="00945C8D"/>
    <w:rsid w:val="00952331"/>
    <w:rsid w:val="0095255F"/>
    <w:rsid w:val="00955257"/>
    <w:rsid w:val="00963BDD"/>
    <w:rsid w:val="00963D5F"/>
    <w:rsid w:val="00981B09"/>
    <w:rsid w:val="00983EB3"/>
    <w:rsid w:val="009A0477"/>
    <w:rsid w:val="009A2245"/>
    <w:rsid w:val="009A78EE"/>
    <w:rsid w:val="009B396E"/>
    <w:rsid w:val="009C17A2"/>
    <w:rsid w:val="009C4EC7"/>
    <w:rsid w:val="009C5051"/>
    <w:rsid w:val="009D0AE9"/>
    <w:rsid w:val="009D3D24"/>
    <w:rsid w:val="009D56C5"/>
    <w:rsid w:val="009E1805"/>
    <w:rsid w:val="009E5D3E"/>
    <w:rsid w:val="009E7FC8"/>
    <w:rsid w:val="009F38A7"/>
    <w:rsid w:val="009F3B58"/>
    <w:rsid w:val="009F5BEB"/>
    <w:rsid w:val="00A01066"/>
    <w:rsid w:val="00A0431E"/>
    <w:rsid w:val="00A07A57"/>
    <w:rsid w:val="00A10192"/>
    <w:rsid w:val="00A108CD"/>
    <w:rsid w:val="00A17077"/>
    <w:rsid w:val="00A1719D"/>
    <w:rsid w:val="00A17C26"/>
    <w:rsid w:val="00A31F77"/>
    <w:rsid w:val="00A34F82"/>
    <w:rsid w:val="00A4131D"/>
    <w:rsid w:val="00A539FB"/>
    <w:rsid w:val="00A60F2C"/>
    <w:rsid w:val="00A65071"/>
    <w:rsid w:val="00A67EA7"/>
    <w:rsid w:val="00A7243F"/>
    <w:rsid w:val="00A732A2"/>
    <w:rsid w:val="00A73CE5"/>
    <w:rsid w:val="00A75DAC"/>
    <w:rsid w:val="00A821AE"/>
    <w:rsid w:val="00A87D47"/>
    <w:rsid w:val="00A90AF0"/>
    <w:rsid w:val="00A94F85"/>
    <w:rsid w:val="00A95428"/>
    <w:rsid w:val="00A96198"/>
    <w:rsid w:val="00AA129D"/>
    <w:rsid w:val="00AA2DA0"/>
    <w:rsid w:val="00AB2AB9"/>
    <w:rsid w:val="00AC0345"/>
    <w:rsid w:val="00AC4B6B"/>
    <w:rsid w:val="00AC6C9F"/>
    <w:rsid w:val="00AC732D"/>
    <w:rsid w:val="00AC737D"/>
    <w:rsid w:val="00AC7F0E"/>
    <w:rsid w:val="00AD1AA8"/>
    <w:rsid w:val="00AD1B92"/>
    <w:rsid w:val="00AD6D61"/>
    <w:rsid w:val="00AE04E8"/>
    <w:rsid w:val="00AF2593"/>
    <w:rsid w:val="00AF55E5"/>
    <w:rsid w:val="00AF6486"/>
    <w:rsid w:val="00B1062C"/>
    <w:rsid w:val="00B112FB"/>
    <w:rsid w:val="00B16531"/>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290C"/>
    <w:rsid w:val="00B94732"/>
    <w:rsid w:val="00BA113E"/>
    <w:rsid w:val="00BA62AF"/>
    <w:rsid w:val="00BB33BE"/>
    <w:rsid w:val="00BB46B6"/>
    <w:rsid w:val="00BB5318"/>
    <w:rsid w:val="00BB7AB7"/>
    <w:rsid w:val="00BB7E73"/>
    <w:rsid w:val="00BC676D"/>
    <w:rsid w:val="00BC6828"/>
    <w:rsid w:val="00BD6152"/>
    <w:rsid w:val="00BD7189"/>
    <w:rsid w:val="00BE4DE4"/>
    <w:rsid w:val="00BF04D7"/>
    <w:rsid w:val="00BF136F"/>
    <w:rsid w:val="00BF28EE"/>
    <w:rsid w:val="00C007FF"/>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48D8"/>
    <w:rsid w:val="00C45F49"/>
    <w:rsid w:val="00C47A8D"/>
    <w:rsid w:val="00C51173"/>
    <w:rsid w:val="00C5231D"/>
    <w:rsid w:val="00C6521A"/>
    <w:rsid w:val="00C74FA6"/>
    <w:rsid w:val="00C84A42"/>
    <w:rsid w:val="00C86511"/>
    <w:rsid w:val="00C8704D"/>
    <w:rsid w:val="00C871F4"/>
    <w:rsid w:val="00C95EA3"/>
    <w:rsid w:val="00C979DB"/>
    <w:rsid w:val="00CA5447"/>
    <w:rsid w:val="00CB14ED"/>
    <w:rsid w:val="00CB3E92"/>
    <w:rsid w:val="00CB5AF3"/>
    <w:rsid w:val="00CC0795"/>
    <w:rsid w:val="00CC2435"/>
    <w:rsid w:val="00CD0660"/>
    <w:rsid w:val="00CD7753"/>
    <w:rsid w:val="00CE20CF"/>
    <w:rsid w:val="00CE3B8E"/>
    <w:rsid w:val="00CE4B0F"/>
    <w:rsid w:val="00CF1E41"/>
    <w:rsid w:val="00CF2A46"/>
    <w:rsid w:val="00CF55FE"/>
    <w:rsid w:val="00CF57AD"/>
    <w:rsid w:val="00CF6993"/>
    <w:rsid w:val="00CF7574"/>
    <w:rsid w:val="00CF7A4F"/>
    <w:rsid w:val="00D01A21"/>
    <w:rsid w:val="00D034A0"/>
    <w:rsid w:val="00D06D9A"/>
    <w:rsid w:val="00D243AD"/>
    <w:rsid w:val="00D24BB4"/>
    <w:rsid w:val="00D259E5"/>
    <w:rsid w:val="00D32B85"/>
    <w:rsid w:val="00D566D2"/>
    <w:rsid w:val="00D76ABC"/>
    <w:rsid w:val="00D76E06"/>
    <w:rsid w:val="00D817A9"/>
    <w:rsid w:val="00D87932"/>
    <w:rsid w:val="00D90728"/>
    <w:rsid w:val="00D91D38"/>
    <w:rsid w:val="00D92A1C"/>
    <w:rsid w:val="00D93183"/>
    <w:rsid w:val="00D953C2"/>
    <w:rsid w:val="00DA2E2B"/>
    <w:rsid w:val="00DA2F5B"/>
    <w:rsid w:val="00DB3114"/>
    <w:rsid w:val="00DC2749"/>
    <w:rsid w:val="00DC4A32"/>
    <w:rsid w:val="00DC6DF0"/>
    <w:rsid w:val="00DD2CEA"/>
    <w:rsid w:val="00DD4F86"/>
    <w:rsid w:val="00DD7F6E"/>
    <w:rsid w:val="00DE2E85"/>
    <w:rsid w:val="00DE2F33"/>
    <w:rsid w:val="00DE2FB6"/>
    <w:rsid w:val="00DE5587"/>
    <w:rsid w:val="00DE7EB5"/>
    <w:rsid w:val="00DF038F"/>
    <w:rsid w:val="00DF0873"/>
    <w:rsid w:val="00DF0EB6"/>
    <w:rsid w:val="00DF144E"/>
    <w:rsid w:val="00DF2081"/>
    <w:rsid w:val="00DF3A38"/>
    <w:rsid w:val="00DF78AC"/>
    <w:rsid w:val="00E0350F"/>
    <w:rsid w:val="00E04931"/>
    <w:rsid w:val="00E05CDA"/>
    <w:rsid w:val="00E06162"/>
    <w:rsid w:val="00E14257"/>
    <w:rsid w:val="00E15E02"/>
    <w:rsid w:val="00E20970"/>
    <w:rsid w:val="00E20CFC"/>
    <w:rsid w:val="00E216E8"/>
    <w:rsid w:val="00E21FB0"/>
    <w:rsid w:val="00E24E14"/>
    <w:rsid w:val="00E2678A"/>
    <w:rsid w:val="00E34787"/>
    <w:rsid w:val="00E437A1"/>
    <w:rsid w:val="00E43B12"/>
    <w:rsid w:val="00E45476"/>
    <w:rsid w:val="00E4674F"/>
    <w:rsid w:val="00E5164B"/>
    <w:rsid w:val="00E52113"/>
    <w:rsid w:val="00E52B41"/>
    <w:rsid w:val="00E55469"/>
    <w:rsid w:val="00E55826"/>
    <w:rsid w:val="00E56B24"/>
    <w:rsid w:val="00E60AF8"/>
    <w:rsid w:val="00E610A9"/>
    <w:rsid w:val="00E6362B"/>
    <w:rsid w:val="00E6768F"/>
    <w:rsid w:val="00E6777C"/>
    <w:rsid w:val="00E6778A"/>
    <w:rsid w:val="00E719B0"/>
    <w:rsid w:val="00E71CB1"/>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EF540C"/>
    <w:rsid w:val="00F01614"/>
    <w:rsid w:val="00F02DBE"/>
    <w:rsid w:val="00F06408"/>
    <w:rsid w:val="00F0664F"/>
    <w:rsid w:val="00F07183"/>
    <w:rsid w:val="00F10CD0"/>
    <w:rsid w:val="00F20DE3"/>
    <w:rsid w:val="00F26DAC"/>
    <w:rsid w:val="00F30E80"/>
    <w:rsid w:val="00F408B9"/>
    <w:rsid w:val="00F4720E"/>
    <w:rsid w:val="00F54FDC"/>
    <w:rsid w:val="00F61B52"/>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E71CB1"/>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4565</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2</cp:revision>
  <cp:lastPrinted>2025-04-10T09:00:00Z</cp:lastPrinted>
  <dcterms:created xsi:type="dcterms:W3CDTF">2025-09-04T08:52:00Z</dcterms:created>
  <dcterms:modified xsi:type="dcterms:W3CDTF">2025-09-04T08:52:00Z</dcterms:modified>
</cp:coreProperties>
</file>